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05" w:rsidRPr="00151C05" w:rsidRDefault="00151C05" w:rsidP="00151C05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F27D00"/>
          <w:sz w:val="35"/>
          <w:szCs w:val="35"/>
          <w:lang w:eastAsia="ru-RU"/>
        </w:rPr>
      </w:pPr>
      <w:r w:rsidRPr="00151C05">
        <w:rPr>
          <w:rFonts w:ascii="inherit" w:eastAsia="Times New Roman" w:hAnsi="inherit" w:cs="Arial"/>
          <w:color w:val="F27D00"/>
          <w:sz w:val="35"/>
          <w:szCs w:val="35"/>
          <w:lang w:eastAsia="ru-RU"/>
        </w:rPr>
        <w:t>Реализация имущества через публичные торги (аукцион), оценочной стоимостью свыше 100 (ста) месячных расчетных показателей.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Ликвидационная комиссия АО «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AsiaCredit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Bank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(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АзияКредит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Банк)» объявляет о реализации через публичные торги (аукцион) зданий и сооружений, иных объектов недвижимости, транспортных средств, а также иного имущества, оценочной стоимостью свыше 100 (ста) месячных расчетных показателей.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Перечень имущества, реализуемого путем проведения публичных торгов (аукциона):  </w:t>
      </w:r>
      <w:hyperlink r:id="rId5" w:history="1">
        <w:r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План реализации</w:t>
        </w:r>
        <w:proofErr w:type="gramStart"/>
        <w:r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 xml:space="preserve"> С</w:t>
        </w:r>
        <w:proofErr w:type="gramEnd"/>
        <w:r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выше 100</w:t>
        </w:r>
      </w:hyperlink>
      <w:r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МРП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Памятка по проведению торгов: </w:t>
      </w:r>
      <w:hyperlink r:id="rId6" w:tgtFrame="_blank" w:history="1">
        <w:r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Памятка_к_проведению_торгов.docx</w:t>
        </w:r>
      </w:hyperlink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 1.      Дата, место и время проведения торгов: </w:t>
      </w:r>
      <w:r w:rsidR="00DA0771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29</w:t>
      </w:r>
      <w:r>
        <w:rPr>
          <w:rFonts w:ascii="Arial" w:eastAsia="Times New Roman" w:hAnsi="Arial" w:cs="Arial"/>
          <w:color w:val="4D4A47"/>
          <w:sz w:val="21"/>
          <w:szCs w:val="21"/>
          <w:lang w:eastAsia="ru-RU"/>
        </w:rPr>
        <w:t>.04.2024</w:t>
      </w: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года в 11 часов 00 минут.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Места проведения торгов и подачи заявок: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    Головной офис Ликвидационной комиссии Банка: г. Алматы, ул. Тулебаева, 38/61, БЦ «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Жетысу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», 3 этаж.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2.      Наименование ликвидируемого банка: Ликвидационная комиссия АО «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AsiaCredit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Bank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(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АзияКредит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Банк)». 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 Характеристика (содержание) выставляемых лотов: 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3.      Метод проведения торгов: английский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4.      Стартовые цены лотов: </w:t>
      </w:r>
      <w:hyperlink r:id="rId7" w:history="1">
        <w:r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План реализации</w:t>
        </w:r>
        <w:proofErr w:type="gramStart"/>
        <w:r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 xml:space="preserve"> С</w:t>
        </w:r>
        <w:proofErr w:type="gramEnd"/>
        <w:r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выше 100</w:t>
        </w:r>
      </w:hyperlink>
      <w:r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МРП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5.      Размер, сроки и порядок внесения гарантийного взноса, реквизиты Продавца: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·         размер гарантийного взноса: 5% от стартовой цены;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 ·         сроки внесения гарантированного взноса: до 10 часов 00 минут </w:t>
      </w:r>
      <w:r w:rsidR="00DA0771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29</w:t>
      </w:r>
      <w:r>
        <w:rPr>
          <w:rFonts w:ascii="Arial" w:eastAsia="Times New Roman" w:hAnsi="Arial" w:cs="Arial"/>
          <w:color w:val="4D4A47"/>
          <w:sz w:val="21"/>
          <w:szCs w:val="21"/>
          <w:lang w:eastAsia="ru-RU"/>
        </w:rPr>
        <w:t>.04.2024</w:t>
      </w: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г.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·         реквизиты Ликвидационной комисс</w:t>
      </w:r>
      <w:proofErr w:type="gram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ии АО</w:t>
      </w:r>
      <w:proofErr w:type="gram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«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AsiaCredit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Bank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(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АзияКредит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Банк)»: 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Бенефициар: АО «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AsiaCredit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Bank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(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АзияКредит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Банк)»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  БИК: NBRKKZKX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  БИН: 920140000508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  ИИК: KZ30125KZT7001300262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  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КБе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: 14 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    Основание (Обязательно прописать): гарантийный взнос по лоту № _ Аукцион №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  Расшифровка сокращений: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  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ЦКОиХЦ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(филиал) в НБРК – Центр кассовых операций и хранения ценностей (филиал)    Национального Банка Республики Казахстан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6. Время и сроки приема заявок, телефоны, адреса, где можно ознакомиться с правилами проведения торгов и получить иную информацию, а также назначить дату, время и место ознакомления с объектом реализации: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Режим работы: каждый день с 09 часов 00 минут до 18 часов 00 минут.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Обеденный перерыв: с 13 часов 00 минут до 14 часов 00 минут.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Выходные дни: суббота, воскресенье, праздничные дни.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 7. Время и сроки приема заявок: с </w:t>
      </w:r>
      <w:r w:rsidR="00DA0771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16</w:t>
      </w:r>
      <w:r>
        <w:rPr>
          <w:rFonts w:ascii="Arial" w:eastAsia="Times New Roman" w:hAnsi="Arial" w:cs="Arial"/>
          <w:color w:val="4D4A47"/>
          <w:sz w:val="21"/>
          <w:szCs w:val="21"/>
          <w:lang w:eastAsia="ru-RU"/>
        </w:rPr>
        <w:t>.04.2024</w:t>
      </w: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г. до 10 часов 00 минут </w:t>
      </w:r>
      <w:r w:rsidR="00DA0771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29</w:t>
      </w:r>
      <w:bookmarkStart w:id="0" w:name="_GoBack"/>
      <w:bookmarkEnd w:id="0"/>
      <w:r>
        <w:rPr>
          <w:rFonts w:ascii="Arial" w:eastAsia="Times New Roman" w:hAnsi="Arial" w:cs="Arial"/>
          <w:color w:val="4D4A47"/>
          <w:sz w:val="21"/>
          <w:szCs w:val="21"/>
          <w:lang w:eastAsia="ru-RU"/>
        </w:rPr>
        <w:t>.04.2024</w:t>
      </w: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года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8. Условия оплаты по приобретенному объекту реализации: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8.1 Покупатель не позднее пяти банковских дней после заключения между Продавцом и Покупателем договора купли-продажи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В случае невнесения Покупателем в установленный срок необходимой платы за имущество, приобретенное на аукционе, договор купли-продажи расторгается в одностороннем порядке </w:t>
      </w: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lastRenderedPageBreak/>
        <w:t xml:space="preserve">Продавцом, что предусматривается условиями данного договора. Внесенный Покупателем гарантийный взнос не </w:t>
      </w:r>
      <w:proofErr w:type="gram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возвращается</w:t>
      </w:r>
      <w:proofErr w:type="gram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 xml:space="preserve"> и данное имущество повторно выставляется на торги.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Ответственность Покупателя за невнесение платы за объект реализации предусматривается в договоре купли-продажи между Покупателем и Продавцом.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9. Телефоны, адреса, где можно ознакомиться с правилами проведения торгов и получить иную информацию: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1. В г. Алматы  ул. Тулебаева, 38/61 БЦ «</w:t>
      </w:r>
      <w:proofErr w:type="spellStart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Жетысу</w:t>
      </w:r>
      <w:proofErr w:type="spellEnd"/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», 3й этаж.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Тел.: +7(778)426-36-90;  +7(727)327-88-18.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Обращаться в рабочие дни с 09:00 ч. до 18:00 ч., обеденный перерыв с 13:00 часов до 14:00 часов.</w:t>
      </w:r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10. Форма заявки на участие в публичных торгах (аукционе): </w:t>
      </w:r>
      <w:hyperlink r:id="rId8" w:tgtFrame="_blank" w:history="1">
        <w:r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Заявка на участие в аукционе.docx</w:t>
        </w:r>
      </w:hyperlink>
    </w:p>
    <w:p w:rsidR="00151C05" w:rsidRPr="00151C05" w:rsidRDefault="00151C05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r w:rsidRPr="00151C05">
        <w:rPr>
          <w:rFonts w:ascii="Arial" w:eastAsia="Times New Roman" w:hAnsi="Arial" w:cs="Arial"/>
          <w:color w:val="4D4A47"/>
          <w:sz w:val="21"/>
          <w:szCs w:val="21"/>
          <w:lang w:eastAsia="ru-RU"/>
        </w:rPr>
        <w:t> Договора купли продажи:  </w:t>
      </w:r>
    </w:p>
    <w:p w:rsidR="00151C05" w:rsidRPr="00151C05" w:rsidRDefault="00DA0771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hyperlink r:id="rId9" w:tgtFrame="_blank" w:history="1"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 xml:space="preserve">Договор купли продажи </w:t>
        </w:r>
        <w:proofErr w:type="gramStart"/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движимое</w:t>
        </w:r>
        <w:proofErr w:type="gramEnd"/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.docx</w:t>
        </w:r>
      </w:hyperlink>
    </w:p>
    <w:p w:rsidR="00151C05" w:rsidRPr="00151C05" w:rsidRDefault="00DA0771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hyperlink r:id="rId10" w:tgtFrame="_blank" w:history="1"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 xml:space="preserve">Договор купли продажи </w:t>
        </w:r>
        <w:proofErr w:type="gramStart"/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недвижимое</w:t>
        </w:r>
        <w:proofErr w:type="gramEnd"/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.docx</w:t>
        </w:r>
      </w:hyperlink>
    </w:p>
    <w:p w:rsidR="00151C05" w:rsidRPr="00151C05" w:rsidRDefault="00DA0771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hyperlink r:id="rId11" w:tgtFrame="_blank" w:history="1"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 xml:space="preserve">Договор купли продажи с рассрочкой </w:t>
        </w:r>
        <w:proofErr w:type="gramStart"/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движимое</w:t>
        </w:r>
        <w:proofErr w:type="gramEnd"/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.docx</w:t>
        </w:r>
      </w:hyperlink>
    </w:p>
    <w:p w:rsidR="00151C05" w:rsidRPr="00151C05" w:rsidRDefault="00DA0771" w:rsidP="00151C05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4D4A47"/>
          <w:sz w:val="21"/>
          <w:szCs w:val="21"/>
          <w:lang w:eastAsia="ru-RU"/>
        </w:rPr>
      </w:pPr>
      <w:hyperlink r:id="rId12" w:tgtFrame="_blank" w:history="1"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 xml:space="preserve">Договор купли продажи с рассрочкой </w:t>
        </w:r>
        <w:proofErr w:type="gramStart"/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недвижимое</w:t>
        </w:r>
        <w:proofErr w:type="gramEnd"/>
        <w:r w:rsidR="00151C05" w:rsidRPr="00151C05">
          <w:rPr>
            <w:rFonts w:ascii="Arial" w:eastAsia="Times New Roman" w:hAnsi="Arial" w:cs="Arial"/>
            <w:color w:val="F27D00"/>
            <w:sz w:val="21"/>
            <w:szCs w:val="21"/>
            <w:u w:val="single"/>
            <w:lang w:eastAsia="ru-RU"/>
          </w:rPr>
          <w:t>.docx</w:t>
        </w:r>
      </w:hyperlink>
    </w:p>
    <w:p w:rsidR="00DB79FF" w:rsidRDefault="00DB79FF"/>
    <w:sectPr w:rsidR="00DB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7C"/>
    <w:rsid w:val="00151C05"/>
    <w:rsid w:val="008F507C"/>
    <w:rsid w:val="00DA0771"/>
    <w:rsid w:val="00DB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1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creditbank.kz/upload/LK/%D0%A2%D0%B5%D0%BD%D0%B4%D0%B5%D1%80%202022/%D0%B4%D0%BE%D0%B3%D0%BE%D0%B2%D0%BE%D1%80%D0%B0/%D0%97%D0%B0%D1%8F%D0%B2%D0%BA%D0%B0%20%D0%BD%D0%B0%20%D1%83%D1%87%D0%B0%D1%81%D1%82%D0%B8%D0%B5%20%D0%B2%20%D0%B0%D1%83%D0%BA%D1%86%D0%B8%D0%BE%D0%BD%D0%B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iacreditbank.kz/upload/Tender/2023/%D0%9F%D0%BB%D0%B0%D0%BD%20%D1%80%D0%B5%D0%B0%D0%BB%D0%B8%D0%B7%D0%B0%D1%86%D0%B8%D0%B8%20%D0%A1%D0%B2%D1%8B%D1%88%D0%B5%20100%2013.12.2023.xlsx" TargetMode="External"/><Relationship Id="rId12" Type="http://schemas.openxmlformats.org/officeDocument/2006/relationships/hyperlink" Target="http://www.asiacreditbank.kz/upload/Tender/2023/%D0%94%D0%BE%D0%B3%D0%BE%D0%B2%D0%BE%D1%80%20%D0%BA%D1%83%D0%BF%D0%BB%D0%B8%20%D0%BF%D1%80%D0%BE%D0%B4%D0%B0%D0%B6%D0%B8%20%D1%81%20%D1%80%D0%B0%D1%81%D1%81%D1%80%D0%BE%D1%87%D0%BA%D0%BE%D0%B9%20%D0%BD%D0%B5%D0%B4%D0%B2%D0%B8%D0%B6%D0%B8%D0%BC%D0%BE%D0%B5%20%281%2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iacreditbank.kz/upload/LK/%D0%A2%D0%B5%D0%BD%D0%B4%D0%B5%D1%80%202022/27022023/%D0%9F%D0%B0%D0%BC%D1%8F%D1%82%D0%BA%D0%B0_%D0%BA_%D0%BF%D1%80%D0%BE%D0%B2%D0%B5%D0%B4%D0%B5%D0%BD%D0%B8%D1%8E_%D1%82%D0%BE%D1%80%D0%B3%D0%BE%D0%B2.docx" TargetMode="External"/><Relationship Id="rId11" Type="http://schemas.openxmlformats.org/officeDocument/2006/relationships/hyperlink" Target="http://www.asiacreditbank.kz/upload/Tender/2023/%D0%94%D0%BE%D0%B3%D0%BE%D0%B2%D0%BE%D1%80%20%D0%BA%D1%83%D0%BF%D0%BB%D0%B8%20%D0%BF%D1%80%D0%BE%D0%B4%D0%B0%D0%B6%D0%B8%20%D1%81%20%D1%80%D0%B0%D1%81%D1%81%D1%80%D0%BE%D1%87%D0%BA%D0%BE%D0%B9%20%D0%B4%D0%B2%D0%B8%D0%B6%D0%B8%D0%BC%D0%BE%D0%B5.docx" TargetMode="External"/><Relationship Id="rId5" Type="http://schemas.openxmlformats.org/officeDocument/2006/relationships/hyperlink" Target="http://www.asiacreditbank.kz/upload/Tender/2023/%D0%9F%D0%BB%D0%B0%D0%BD%20%D1%80%D0%B5%D0%B0%D0%BB%D0%B8%D0%B7%D0%B0%D1%86%D0%B8%D0%B8%20%D0%A1%D0%B2%D1%8B%D1%88%D0%B5%20100%2013.12.2023.xlsx" TargetMode="External"/><Relationship Id="rId10" Type="http://schemas.openxmlformats.org/officeDocument/2006/relationships/hyperlink" Target="http://www.asiacreditbank.kz/upload/Tender/2023/%D0%94%D0%BE%D0%B3%D0%BE%D0%B2%D0%BE%D1%80%20%D0%BA%D1%83%D0%BF%D0%BB%D0%B8%20%D0%BF%D1%80%D0%BE%D0%B4%D0%B0%D0%B6%D0%B8%20%D0%BD%D0%B5%D0%B4%D0%B2%D0%B8%D0%B6%D0%B8%D0%BC%D0%BE%D0%B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iacreditbank.kz/upload/Tender/2023/%D0%94%D0%BE%D0%B3%D0%BE%D0%B2%D0%BE%D1%80%20%D0%BA%D1%83%D0%BF%D0%BB%D0%B8%20%D0%BF%D1%80%D0%BE%D0%B4%D0%B0%D0%B6%D0%B8%20%D0%B4%D0%B2%D0%B8%D0%B6%D0%B8%D0%BC%D0%BE%D0%B5%20%281%29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Арзиева Адалят</dc:creator>
  <cp:keywords/>
  <dc:description/>
  <cp:lastModifiedBy>Арзиева Адалят</cp:lastModifiedBy>
  <cp:revision>3</cp:revision>
  <dcterms:created xsi:type="dcterms:W3CDTF">2024-04-02T12:17:00Z</dcterms:created>
  <dcterms:modified xsi:type="dcterms:W3CDTF">2024-04-16T05:09:00Z</dcterms:modified>
</cp:coreProperties>
</file>